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8680A" w14:textId="2DF90D87" w:rsidR="00F55646" w:rsidRPr="003B45EE" w:rsidRDefault="00F55646" w:rsidP="00F55646">
      <w:pPr>
        <w:tabs>
          <w:tab w:val="left" w:pos="1985"/>
        </w:tabs>
        <w:spacing w:after="0"/>
        <w:jc w:val="both"/>
        <w:rPr>
          <w:rFonts w:ascii="Arial" w:hAnsi="Arial" w:cs="Arial"/>
          <w:b/>
          <w:sz w:val="24"/>
          <w:lang w:val="en-US"/>
        </w:rPr>
      </w:pPr>
      <w:r w:rsidRPr="003B45EE">
        <w:rPr>
          <w:rFonts w:ascii="Arial" w:hAnsi="Arial" w:cs="Arial"/>
          <w:b/>
          <w:sz w:val="24"/>
          <w:lang w:val="en-US"/>
        </w:rPr>
        <w:t>3GPP TSG RAN WG1 Meeting #85</w:t>
      </w:r>
      <w:r w:rsidRPr="003B45EE">
        <w:rPr>
          <w:rFonts w:ascii="Arial" w:hAnsi="Arial" w:cs="Arial"/>
          <w:b/>
          <w:sz w:val="24"/>
          <w:lang w:val="en-US"/>
        </w:rPr>
        <w:tab/>
      </w:r>
      <w:r w:rsidRPr="003B45E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B45EE">
        <w:rPr>
          <w:rFonts w:ascii="Arial" w:hAnsi="Arial" w:cs="Arial"/>
          <w:b/>
          <w:sz w:val="24"/>
          <w:lang w:val="en-US"/>
        </w:rPr>
        <w:t>R1-16</w:t>
      </w:r>
      <w:r w:rsidR="002546A0">
        <w:rPr>
          <w:rFonts w:ascii="Arial" w:hAnsi="Arial" w:cs="Arial"/>
          <w:b/>
          <w:sz w:val="24"/>
          <w:lang w:val="en-US"/>
        </w:rPr>
        <w:t>5079</w:t>
      </w:r>
      <w:bookmarkStart w:id="0" w:name="_GoBack"/>
      <w:bookmarkEnd w:id="0"/>
    </w:p>
    <w:p w14:paraId="5F9C2AE9" w14:textId="77777777" w:rsidR="00F55646" w:rsidRDefault="00F55646" w:rsidP="00F55646">
      <w:pPr>
        <w:tabs>
          <w:tab w:val="left" w:pos="1985"/>
        </w:tabs>
        <w:spacing w:after="0"/>
        <w:jc w:val="both"/>
        <w:rPr>
          <w:rFonts w:ascii="Arial" w:hAnsi="Arial" w:cs="Arial"/>
          <w:b/>
          <w:sz w:val="24"/>
          <w:lang w:val="en-US"/>
        </w:rPr>
      </w:pPr>
      <w:r w:rsidRPr="003B45EE">
        <w:rPr>
          <w:rFonts w:ascii="Arial" w:hAnsi="Arial" w:cs="Arial"/>
          <w:b/>
          <w:sz w:val="24"/>
          <w:lang w:val="en-US"/>
        </w:rPr>
        <w:t>Nanjing, China 23rd - 27th May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6F4A5FA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55646" w:rsidRPr="00F55646">
        <w:rPr>
          <w:rFonts w:ascii="Arial" w:eastAsia="Malgun Gothic" w:hAnsi="Arial" w:cs="Arial"/>
          <w:b/>
          <w:sz w:val="24"/>
          <w:lang w:val="en-US" w:eastAsia="ko-KR"/>
        </w:rPr>
        <w:t>Consideration on advanced receivers for NR</w:t>
      </w:r>
    </w:p>
    <w:p w14:paraId="6E52CD3F" w14:textId="070D51FB"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55646">
        <w:rPr>
          <w:rFonts w:ascii="Arial" w:hAnsi="Arial" w:cs="Arial"/>
          <w:b/>
          <w:sz w:val="24"/>
          <w:lang w:val="en-US"/>
        </w:rPr>
        <w:t>7</w:t>
      </w:r>
      <w:r w:rsidR="00080D68">
        <w:rPr>
          <w:rFonts w:ascii="Arial" w:hAnsi="Arial" w:cs="Arial"/>
          <w:b/>
          <w:sz w:val="24"/>
          <w:lang w:val="en-US"/>
        </w:rPr>
        <w:t>.1.</w:t>
      </w:r>
      <w:r w:rsidR="00F55646">
        <w:rPr>
          <w:rFonts w:ascii="Arial" w:hAnsi="Arial" w:cs="Arial"/>
          <w:b/>
          <w:sz w:val="24"/>
          <w:lang w:val="en-US"/>
        </w:rPr>
        <w:t>6</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20001D">
      <w:pPr>
        <w:pStyle w:val="Heading1"/>
        <w:numPr>
          <w:ilvl w:val="0"/>
          <w:numId w:val="48"/>
        </w:numPr>
        <w:spacing w:before="120" w:after="60"/>
        <w:jc w:val="both"/>
        <w:rPr>
          <w:rFonts w:cs="Arial"/>
          <w:lang w:val="en-US"/>
        </w:rPr>
      </w:pPr>
      <w:r>
        <w:rPr>
          <w:rFonts w:cs="Arial"/>
          <w:lang w:val="en-US"/>
        </w:rPr>
        <w:t>Introduction</w:t>
      </w:r>
    </w:p>
    <w:p w14:paraId="2DC921A2" w14:textId="76D9EBBD" w:rsidR="0097496D" w:rsidRPr="0020001D" w:rsidRDefault="0020001D" w:rsidP="0020001D">
      <w:pPr>
        <w:ind w:firstLine="284"/>
        <w:jc w:val="both"/>
        <w:rPr>
          <w:sz w:val="22"/>
          <w:szCs w:val="22"/>
          <w:lang w:eastAsia="zh-CN"/>
        </w:rPr>
      </w:pPr>
      <w:r w:rsidRPr="0020001D">
        <w:rPr>
          <w:sz w:val="22"/>
          <w:szCs w:val="22"/>
          <w:lang w:eastAsia="zh-CN"/>
        </w:rPr>
        <w:t xml:space="preserve">In the RAN#71 meeting a new study item on New Radio (NR) Access Technology was approved [1]. The main objective of the study item is to develop and evaluate the technologies for the NR system to support a broad range of the use cases including enhanced mobile broadband, massive MTC, </w:t>
      </w:r>
      <w:r w:rsidR="00080D68">
        <w:rPr>
          <w:sz w:val="22"/>
          <w:szCs w:val="22"/>
          <w:lang w:eastAsia="zh-CN"/>
        </w:rPr>
        <w:t>URLLC</w:t>
      </w:r>
      <w:r w:rsidRPr="0020001D">
        <w:rPr>
          <w:sz w:val="22"/>
          <w:szCs w:val="22"/>
          <w:lang w:eastAsia="zh-CN"/>
        </w:rPr>
        <w:t xml:space="preserve">. In this contribution we provide our views on the </w:t>
      </w:r>
      <w:r>
        <w:rPr>
          <w:sz w:val="22"/>
          <w:szCs w:val="22"/>
          <w:lang w:eastAsia="zh-CN"/>
        </w:rPr>
        <w:t>antenna related technology for NR such as MIMO and receiver technology</w:t>
      </w:r>
      <w:r w:rsidRPr="0020001D">
        <w:rPr>
          <w:sz w:val="22"/>
          <w:szCs w:val="22"/>
          <w:lang w:eastAsia="zh-CN"/>
        </w:rPr>
        <w:t>.</w:t>
      </w:r>
    </w:p>
    <w:p w14:paraId="75D2D959" w14:textId="241E48DC" w:rsidR="0097496D" w:rsidRDefault="0097496D" w:rsidP="0020001D">
      <w:pPr>
        <w:pStyle w:val="Heading1"/>
        <w:numPr>
          <w:ilvl w:val="0"/>
          <w:numId w:val="48"/>
        </w:numPr>
        <w:spacing w:before="120" w:after="60"/>
        <w:jc w:val="both"/>
        <w:rPr>
          <w:rFonts w:cs="Arial"/>
          <w:lang w:val="en-US" w:eastAsia="zh-CN"/>
        </w:rPr>
      </w:pPr>
      <w:r>
        <w:rPr>
          <w:rFonts w:cs="Arial"/>
          <w:lang w:val="en-US"/>
        </w:rPr>
        <w:t xml:space="preserve">Receiver enhancements </w:t>
      </w:r>
      <w:r w:rsidR="0020001D">
        <w:rPr>
          <w:rFonts w:cs="Arial"/>
          <w:lang w:val="en-US"/>
        </w:rPr>
        <w:t>overview</w:t>
      </w:r>
    </w:p>
    <w:p w14:paraId="5B0F8DEE" w14:textId="77777777" w:rsidR="00F55646" w:rsidRDefault="0097496D" w:rsidP="0097496D">
      <w:pPr>
        <w:ind w:firstLine="284"/>
        <w:jc w:val="both"/>
        <w:rPr>
          <w:sz w:val="22"/>
          <w:szCs w:val="22"/>
          <w:lang w:eastAsia="zh-CN"/>
        </w:rPr>
      </w:pPr>
      <w:r>
        <w:rPr>
          <w:sz w:val="22"/>
          <w:szCs w:val="22"/>
          <w:lang w:eastAsia="zh-CN"/>
        </w:rPr>
        <w:t>In the eMBB scenarios</w:t>
      </w:r>
      <w:r w:rsidR="005F4364">
        <w:rPr>
          <w:sz w:val="22"/>
          <w:szCs w:val="22"/>
          <w:lang w:eastAsia="zh-CN"/>
        </w:rPr>
        <w:t xml:space="preserve"> with</w:t>
      </w:r>
      <w:r>
        <w:rPr>
          <w:sz w:val="22"/>
          <w:szCs w:val="22"/>
          <w:lang w:eastAsia="zh-CN"/>
        </w:rPr>
        <w:t xml:space="preserve"> dense deployment of TRP, the NR is expected to operate in the interference limited scenarios. To cope with possible interference issues at the UE receiver, the advanced interference cancellation and suppression (IC/IS) techniques should be considered and the NR should be designed in a way to enable easy integration of the UE IC/IS features. Such UE receivers should be capable </w:t>
      </w:r>
      <w:r w:rsidR="005F4364">
        <w:rPr>
          <w:sz w:val="22"/>
          <w:szCs w:val="22"/>
          <w:lang w:eastAsia="zh-CN"/>
        </w:rPr>
        <w:t xml:space="preserve">of </w:t>
      </w:r>
      <w:r>
        <w:rPr>
          <w:sz w:val="22"/>
          <w:szCs w:val="22"/>
          <w:lang w:eastAsia="zh-CN"/>
        </w:rPr>
        <w:t xml:space="preserve">handling </w:t>
      </w:r>
      <w:r w:rsidR="005F4364">
        <w:rPr>
          <w:sz w:val="22"/>
          <w:szCs w:val="22"/>
          <w:lang w:eastAsia="zh-CN"/>
        </w:rPr>
        <w:t xml:space="preserve">interference </w:t>
      </w:r>
      <w:r>
        <w:rPr>
          <w:sz w:val="22"/>
          <w:szCs w:val="22"/>
          <w:lang w:eastAsia="zh-CN"/>
        </w:rPr>
        <w:t xml:space="preserve">not only from the downlink transmission of the neighbouring TRP, but also from the downlink transmission of the serving TRP operating in the MU-MIMO and SU-MIMO. In addition, in the scenarios with dynamic UL/DL reconfiguration, the interference handling should be also extended to the uplink transmission of the nearby UE. The interference handling can be performed in the baseband similarly </w:t>
      </w:r>
      <w:r w:rsidR="005F4364">
        <w:rPr>
          <w:sz w:val="22"/>
          <w:szCs w:val="22"/>
          <w:lang w:eastAsia="zh-CN"/>
        </w:rPr>
        <w:t xml:space="preserve">as in </w:t>
      </w:r>
      <w:r>
        <w:rPr>
          <w:sz w:val="22"/>
          <w:szCs w:val="22"/>
          <w:lang w:eastAsia="zh-CN"/>
        </w:rPr>
        <w:t xml:space="preserve">LTE systems. In addition, for the high frequency band for the UE </w:t>
      </w:r>
      <w:r w:rsidR="005F4364">
        <w:rPr>
          <w:sz w:val="22"/>
          <w:szCs w:val="22"/>
          <w:lang w:eastAsia="zh-CN"/>
        </w:rPr>
        <w:t xml:space="preserve">employing </w:t>
      </w:r>
      <w:r w:rsidRPr="00733B1F">
        <w:rPr>
          <w:sz w:val="22"/>
          <w:szCs w:val="22"/>
          <w:lang w:eastAsia="zh-CN"/>
        </w:rPr>
        <w:t xml:space="preserve">hybrid </w:t>
      </w:r>
      <w:r>
        <w:rPr>
          <w:sz w:val="22"/>
          <w:szCs w:val="22"/>
          <w:lang w:eastAsia="zh-CN"/>
        </w:rPr>
        <w:t xml:space="preserve">antenna </w:t>
      </w:r>
      <w:r w:rsidRPr="00733B1F">
        <w:rPr>
          <w:sz w:val="22"/>
          <w:szCs w:val="22"/>
          <w:lang w:eastAsia="zh-CN"/>
        </w:rPr>
        <w:t>architecture</w:t>
      </w:r>
      <w:r>
        <w:rPr>
          <w:sz w:val="22"/>
          <w:szCs w:val="22"/>
          <w:lang w:eastAsia="zh-CN"/>
        </w:rPr>
        <w:t>, the interference can be also handled by using beamforming in analog domain.</w:t>
      </w:r>
    </w:p>
    <w:p w14:paraId="34E90F23" w14:textId="5D963985" w:rsidR="0097496D" w:rsidRDefault="0097496D" w:rsidP="0097496D">
      <w:pPr>
        <w:ind w:firstLine="284"/>
        <w:jc w:val="both"/>
        <w:rPr>
          <w:sz w:val="22"/>
          <w:szCs w:val="22"/>
          <w:lang w:eastAsia="zh-CN"/>
        </w:rPr>
      </w:pPr>
      <w:r>
        <w:rPr>
          <w:sz w:val="22"/>
          <w:szCs w:val="22"/>
          <w:lang w:eastAsia="zh-CN"/>
        </w:rPr>
        <w:t xml:space="preserve">Figure </w:t>
      </w:r>
      <w:r w:rsidR="00F55646">
        <w:rPr>
          <w:sz w:val="22"/>
          <w:szCs w:val="22"/>
          <w:lang w:eastAsia="zh-CN"/>
        </w:rPr>
        <w:t>1</w:t>
      </w:r>
      <w:r w:rsidR="0020001D">
        <w:rPr>
          <w:sz w:val="22"/>
          <w:szCs w:val="22"/>
          <w:lang w:eastAsia="zh-CN"/>
        </w:rPr>
        <w:t xml:space="preserve"> </w:t>
      </w:r>
      <w:r>
        <w:rPr>
          <w:sz w:val="22"/>
          <w:szCs w:val="22"/>
          <w:lang w:eastAsia="zh-CN"/>
        </w:rPr>
        <w:t xml:space="preserve">illustrates the envisioned NR scenarios where advanced IC/IS receiver may be required. To ensure the efficient and low complexity operation of the receiver it </w:t>
      </w:r>
      <w:r w:rsidR="005F4364">
        <w:rPr>
          <w:sz w:val="22"/>
          <w:szCs w:val="22"/>
          <w:lang w:eastAsia="zh-CN"/>
        </w:rPr>
        <w:t xml:space="preserve">is </w:t>
      </w:r>
      <w:r>
        <w:rPr>
          <w:sz w:val="22"/>
          <w:szCs w:val="22"/>
          <w:lang w:eastAsia="zh-CN"/>
        </w:rPr>
        <w:t xml:space="preserve">necessarily to </w:t>
      </w:r>
      <w:r w:rsidR="0040669E">
        <w:rPr>
          <w:sz w:val="22"/>
          <w:szCs w:val="22"/>
          <w:lang w:eastAsia="zh-CN"/>
        </w:rPr>
        <w:t xml:space="preserve">consider </w:t>
      </w:r>
      <w:r>
        <w:rPr>
          <w:sz w:val="22"/>
          <w:szCs w:val="22"/>
          <w:lang w:eastAsia="zh-CN"/>
        </w:rPr>
        <w:t xml:space="preserve">physical channel structure with colliding physical channels and reference signals possibly with reduced number of parameters. </w:t>
      </w:r>
    </w:p>
    <w:tbl>
      <w:tblPr>
        <w:tblStyle w:val="TableGrid"/>
        <w:tblW w:w="10348" w:type="dxa"/>
        <w:jc w:val="center"/>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16"/>
        <w:gridCol w:w="2516"/>
        <w:gridCol w:w="2516"/>
        <w:gridCol w:w="2800"/>
      </w:tblGrid>
      <w:tr w:rsidR="0097496D" w14:paraId="227A8506" w14:textId="77777777" w:rsidTr="0037456D">
        <w:trPr>
          <w:trHeight w:val="242"/>
          <w:jc w:val="center"/>
        </w:trPr>
        <w:tc>
          <w:tcPr>
            <w:tcW w:w="2516" w:type="dxa"/>
            <w:tcBorders>
              <w:top w:val="nil"/>
              <w:bottom w:val="single" w:sz="4" w:space="0" w:color="auto"/>
            </w:tcBorders>
            <w:shd w:val="clear" w:color="auto" w:fill="CCFFFF"/>
          </w:tcPr>
          <w:p w14:paraId="6BF68974" w14:textId="77777777" w:rsidR="0097496D" w:rsidRPr="00733B1F" w:rsidRDefault="0097496D" w:rsidP="0037456D">
            <w:pPr>
              <w:overflowPunct/>
              <w:spacing w:before="0" w:after="0" w:line="240" w:lineRule="auto"/>
              <w:jc w:val="center"/>
              <w:textAlignment w:val="auto"/>
              <w:rPr>
                <w:b/>
                <w:sz w:val="22"/>
                <w:szCs w:val="22"/>
                <w:lang w:eastAsia="zh-CN"/>
              </w:rPr>
            </w:pPr>
            <w:r>
              <w:rPr>
                <w:rFonts w:ascii="Calibri" w:hAnsi="Calibri" w:cs="Calibri"/>
                <w:b/>
                <w:color w:val="000000"/>
                <w:sz w:val="16"/>
                <w:szCs w:val="12"/>
                <w:lang w:val="en-US" w:eastAsia="zh-CN"/>
              </w:rPr>
              <w:t>Inter TRP interference</w:t>
            </w:r>
          </w:p>
        </w:tc>
        <w:tc>
          <w:tcPr>
            <w:tcW w:w="2516" w:type="dxa"/>
            <w:tcBorders>
              <w:top w:val="nil"/>
              <w:bottom w:val="single" w:sz="4" w:space="0" w:color="auto"/>
            </w:tcBorders>
            <w:shd w:val="clear" w:color="auto" w:fill="CCFFFF"/>
          </w:tcPr>
          <w:p w14:paraId="6C041BE0" w14:textId="77777777" w:rsidR="0097496D" w:rsidRPr="00733B1F" w:rsidRDefault="0097496D" w:rsidP="0037456D">
            <w:pPr>
              <w:overflowPunct/>
              <w:spacing w:before="0" w:after="0" w:line="240" w:lineRule="auto"/>
              <w:jc w:val="center"/>
              <w:textAlignment w:val="auto"/>
              <w:rPr>
                <w:b/>
                <w:sz w:val="22"/>
                <w:szCs w:val="22"/>
                <w:lang w:eastAsia="zh-CN"/>
              </w:rPr>
            </w:pPr>
            <w:r>
              <w:rPr>
                <w:rFonts w:ascii="Calibri" w:hAnsi="Calibri" w:cs="Calibri"/>
                <w:b/>
                <w:color w:val="000000"/>
                <w:sz w:val="16"/>
                <w:szCs w:val="12"/>
                <w:lang w:val="en-US" w:eastAsia="zh-CN"/>
              </w:rPr>
              <w:t>Intra TRP interference</w:t>
            </w:r>
          </w:p>
        </w:tc>
        <w:tc>
          <w:tcPr>
            <w:tcW w:w="2516" w:type="dxa"/>
            <w:tcBorders>
              <w:top w:val="nil"/>
              <w:bottom w:val="single" w:sz="4" w:space="0" w:color="auto"/>
              <w:right w:val="single" w:sz="4" w:space="0" w:color="auto"/>
            </w:tcBorders>
            <w:shd w:val="clear" w:color="auto" w:fill="CCFFFF"/>
          </w:tcPr>
          <w:p w14:paraId="74AE6093" w14:textId="77777777" w:rsidR="0097496D" w:rsidRPr="00733B1F" w:rsidRDefault="0097496D" w:rsidP="0037456D">
            <w:pPr>
              <w:spacing w:before="0" w:after="0" w:line="240" w:lineRule="auto"/>
              <w:jc w:val="center"/>
              <w:rPr>
                <w:b/>
                <w:sz w:val="22"/>
                <w:szCs w:val="22"/>
                <w:lang w:eastAsia="zh-CN"/>
              </w:rPr>
            </w:pPr>
            <w:r>
              <w:rPr>
                <w:rFonts w:ascii="Calibri" w:hAnsi="Calibri" w:cs="Calibri"/>
                <w:b/>
                <w:color w:val="000000"/>
                <w:sz w:val="16"/>
                <w:szCs w:val="12"/>
                <w:lang w:val="en-US" w:eastAsia="zh-CN"/>
              </w:rPr>
              <w:t>UE-UE &amp; TRP-TRP interference (DL/UL)</w:t>
            </w:r>
          </w:p>
        </w:tc>
        <w:tc>
          <w:tcPr>
            <w:tcW w:w="2800" w:type="dxa"/>
            <w:tcBorders>
              <w:top w:val="nil"/>
              <w:bottom w:val="single" w:sz="4" w:space="0" w:color="auto"/>
              <w:right w:val="nil"/>
            </w:tcBorders>
            <w:shd w:val="clear" w:color="auto" w:fill="CCFFFF"/>
          </w:tcPr>
          <w:p w14:paraId="60BBDF83" w14:textId="77777777" w:rsidR="0097496D" w:rsidRPr="00550D77" w:rsidRDefault="0097496D" w:rsidP="0037456D">
            <w:pPr>
              <w:spacing w:before="0" w:after="0" w:line="240" w:lineRule="auto"/>
              <w:jc w:val="center"/>
              <w:rPr>
                <w:rFonts w:ascii="Calibri" w:hAnsi="Calibri" w:cs="Calibri"/>
                <w:b/>
                <w:color w:val="000000"/>
                <w:sz w:val="16"/>
                <w:szCs w:val="12"/>
                <w:lang w:val="en-US" w:eastAsia="zh-CN"/>
              </w:rPr>
            </w:pPr>
            <w:r>
              <w:rPr>
                <w:rFonts w:ascii="Calibri" w:hAnsi="Calibri" w:cs="Calibri"/>
                <w:b/>
                <w:color w:val="000000"/>
                <w:sz w:val="16"/>
                <w:szCs w:val="12"/>
                <w:lang w:val="en-US" w:eastAsia="zh-CN"/>
              </w:rPr>
              <w:t>UE-UE &amp; TRP-TRP &amp; TRP-UE interference (DL/UL/SL)</w:t>
            </w:r>
          </w:p>
        </w:tc>
      </w:tr>
      <w:tr w:rsidR="0097496D" w14:paraId="7D86C89B" w14:textId="77777777" w:rsidTr="0037456D">
        <w:trPr>
          <w:trHeight w:val="1999"/>
          <w:jc w:val="center"/>
        </w:trPr>
        <w:tc>
          <w:tcPr>
            <w:tcW w:w="2516" w:type="dxa"/>
            <w:tcBorders>
              <w:top w:val="single" w:sz="4" w:space="0" w:color="auto"/>
            </w:tcBorders>
          </w:tcPr>
          <w:p w14:paraId="514E0840" w14:textId="77777777" w:rsidR="0097496D" w:rsidRDefault="0097496D" w:rsidP="0037456D">
            <w:r>
              <w:object w:dxaOrig="2416" w:dyaOrig="1636" w14:anchorId="74AA1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5pt;height:82.35pt" o:ole="">
                  <v:imagedata r:id="rId8" o:title=""/>
                </v:shape>
                <o:OLEObject Type="Embed" ProgID="Visio.Drawing.15" ShapeID="_x0000_i1025" DrawAspect="Content" ObjectID="_1524689655" r:id="rId9"/>
              </w:object>
            </w:r>
          </w:p>
        </w:tc>
        <w:tc>
          <w:tcPr>
            <w:tcW w:w="2516" w:type="dxa"/>
            <w:tcBorders>
              <w:top w:val="single" w:sz="4" w:space="0" w:color="auto"/>
            </w:tcBorders>
          </w:tcPr>
          <w:p w14:paraId="399F6D9F" w14:textId="77777777" w:rsidR="0097496D" w:rsidRDefault="0097496D" w:rsidP="0037456D">
            <w:r>
              <w:object w:dxaOrig="1846" w:dyaOrig="1665" w14:anchorId="3D7BC9D5">
                <v:shape id="_x0000_i1026" type="#_x0000_t75" style="width:91.6pt;height:83.5pt" o:ole="">
                  <v:imagedata r:id="rId10" o:title=""/>
                </v:shape>
                <o:OLEObject Type="Embed" ProgID="Visio.Drawing.15" ShapeID="_x0000_i1026" DrawAspect="Content" ObjectID="_1524689656" r:id="rId11"/>
              </w:object>
            </w:r>
          </w:p>
        </w:tc>
        <w:tc>
          <w:tcPr>
            <w:tcW w:w="2516" w:type="dxa"/>
            <w:tcBorders>
              <w:top w:val="single" w:sz="4" w:space="0" w:color="auto"/>
              <w:right w:val="single" w:sz="4" w:space="0" w:color="auto"/>
            </w:tcBorders>
          </w:tcPr>
          <w:p w14:paraId="343D3598" w14:textId="77777777" w:rsidR="0097496D" w:rsidRDefault="0097496D" w:rsidP="0037456D">
            <w:r>
              <w:object w:dxaOrig="2352" w:dyaOrig="1728" w14:anchorId="50FAD635">
                <v:shape id="_x0000_i1027" type="#_x0000_t75" style="width:118.1pt;height:85.8pt" o:ole="">
                  <v:imagedata r:id="rId12" o:title=""/>
                </v:shape>
                <o:OLEObject Type="Embed" ProgID="Visio.Drawing.15" ShapeID="_x0000_i1027" DrawAspect="Content" ObjectID="_1524689657" r:id="rId13"/>
              </w:object>
            </w:r>
          </w:p>
        </w:tc>
        <w:tc>
          <w:tcPr>
            <w:tcW w:w="2800" w:type="dxa"/>
            <w:tcBorders>
              <w:top w:val="single" w:sz="4" w:space="0" w:color="auto"/>
              <w:bottom w:val="nil"/>
              <w:right w:val="nil"/>
            </w:tcBorders>
          </w:tcPr>
          <w:p w14:paraId="2B3DD0FA" w14:textId="77777777" w:rsidR="0097496D" w:rsidRDefault="0097496D" w:rsidP="0037456D">
            <w:r>
              <w:object w:dxaOrig="2700" w:dyaOrig="1632" w14:anchorId="41F88353">
                <v:shape id="_x0000_i1028" type="#_x0000_t75" style="width:133.65pt;height:81.8pt" o:ole="">
                  <v:imagedata r:id="rId14" o:title=""/>
                </v:shape>
                <o:OLEObject Type="Embed" ProgID="Visio.Drawing.15" ShapeID="_x0000_i1028" DrawAspect="Content" ObjectID="_1524689658" r:id="rId15"/>
              </w:object>
            </w:r>
          </w:p>
        </w:tc>
      </w:tr>
    </w:tbl>
    <w:p w14:paraId="36CACE95" w14:textId="4203078B" w:rsidR="0097496D" w:rsidRPr="00733B1F" w:rsidRDefault="0097496D" w:rsidP="0097496D">
      <w:pPr>
        <w:ind w:firstLine="284"/>
        <w:jc w:val="center"/>
        <w:rPr>
          <w:b/>
          <w:sz w:val="22"/>
          <w:szCs w:val="22"/>
          <w:lang w:eastAsia="zh-CN"/>
        </w:rPr>
      </w:pPr>
      <w:r w:rsidRPr="00733B1F">
        <w:rPr>
          <w:b/>
          <w:sz w:val="22"/>
          <w:szCs w:val="22"/>
          <w:lang w:eastAsia="zh-CN"/>
        </w:rPr>
        <w:t xml:space="preserve">Figure </w:t>
      </w:r>
      <w:r w:rsidR="00F55646">
        <w:rPr>
          <w:b/>
          <w:sz w:val="22"/>
          <w:szCs w:val="22"/>
          <w:lang w:eastAsia="zh-CN"/>
        </w:rPr>
        <w:t>1</w:t>
      </w:r>
      <w:r w:rsidRPr="00733B1F">
        <w:rPr>
          <w:b/>
          <w:sz w:val="22"/>
          <w:szCs w:val="22"/>
          <w:lang w:eastAsia="zh-CN"/>
        </w:rPr>
        <w:t xml:space="preserve">: Envisioned </w:t>
      </w:r>
      <w:r>
        <w:rPr>
          <w:b/>
          <w:sz w:val="22"/>
          <w:szCs w:val="22"/>
          <w:lang w:eastAsia="zh-CN"/>
        </w:rPr>
        <w:t>interference scenarios supported by advanced receivers</w:t>
      </w:r>
    </w:p>
    <w:p w14:paraId="52FF54A6" w14:textId="6668C68C" w:rsidR="00A4449D" w:rsidRDefault="0097496D" w:rsidP="0097496D">
      <w:pPr>
        <w:ind w:firstLine="284"/>
        <w:jc w:val="both"/>
        <w:rPr>
          <w:sz w:val="22"/>
          <w:szCs w:val="22"/>
          <w:lang w:eastAsia="zh-CN"/>
        </w:rPr>
      </w:pPr>
      <w:r>
        <w:rPr>
          <w:sz w:val="22"/>
          <w:szCs w:val="22"/>
          <w:lang w:eastAsia="zh-CN"/>
        </w:rPr>
        <w:t xml:space="preserve">The UE receiver operation should also consider the new multiplexing schemes that can be supported in NR. More specifically, the multiplexing of downlink transmission with different TTIs can be performed with overlapping of resource allocations and </w:t>
      </w:r>
      <w:r w:rsidR="0008579B">
        <w:rPr>
          <w:sz w:val="22"/>
          <w:szCs w:val="22"/>
          <w:lang w:eastAsia="zh-CN"/>
        </w:rPr>
        <w:t xml:space="preserve">superposition </w:t>
      </w:r>
      <w:r w:rsidR="00D832F0">
        <w:rPr>
          <w:sz w:val="22"/>
          <w:szCs w:val="22"/>
          <w:lang w:eastAsia="zh-CN"/>
        </w:rPr>
        <w:t>between</w:t>
      </w:r>
      <w:r>
        <w:rPr>
          <w:sz w:val="22"/>
          <w:szCs w:val="22"/>
          <w:lang w:eastAsia="zh-CN"/>
        </w:rPr>
        <w:t xml:space="preserve"> the transmission</w:t>
      </w:r>
      <w:r w:rsidR="001A11B9">
        <w:rPr>
          <w:sz w:val="22"/>
          <w:szCs w:val="22"/>
          <w:lang w:eastAsia="zh-CN"/>
        </w:rPr>
        <w:t>s</w:t>
      </w:r>
      <w:r w:rsidR="00D832F0">
        <w:rPr>
          <w:sz w:val="22"/>
          <w:szCs w:val="22"/>
          <w:lang w:eastAsia="zh-CN"/>
        </w:rPr>
        <w:t>, where puncturing may be considered as special case</w:t>
      </w:r>
      <w:r>
        <w:rPr>
          <w:sz w:val="22"/>
          <w:szCs w:val="22"/>
          <w:lang w:eastAsia="zh-CN"/>
        </w:rPr>
        <w:t xml:space="preserve">. The advanced receiver operation should support efficient </w:t>
      </w:r>
      <w:r w:rsidR="00D832F0">
        <w:rPr>
          <w:sz w:val="22"/>
          <w:szCs w:val="22"/>
          <w:lang w:eastAsia="zh-CN"/>
        </w:rPr>
        <w:t xml:space="preserve">superposition </w:t>
      </w:r>
      <w:r>
        <w:rPr>
          <w:sz w:val="22"/>
          <w:szCs w:val="22"/>
          <w:lang w:eastAsia="zh-CN"/>
        </w:rPr>
        <w:t>detection mechanisms to minimize the possible impact of the new multiplexing schemes</w:t>
      </w:r>
      <w:r w:rsidR="00D832F0">
        <w:rPr>
          <w:sz w:val="22"/>
          <w:szCs w:val="22"/>
          <w:lang w:eastAsia="zh-CN"/>
        </w:rPr>
        <w:t xml:space="preserve"> on the performance</w:t>
      </w:r>
      <w:r>
        <w:rPr>
          <w:sz w:val="22"/>
          <w:szCs w:val="22"/>
          <w:lang w:eastAsia="zh-CN"/>
        </w:rPr>
        <w:t xml:space="preserve">. In addition, the NR should assume possibility to utilize enhanced receivers for D2D and V2X scenarios. In V2X scenarios, the reliability is one of the main metrics and thus advanced receivers may play a crucial role either for Uu based V2V communication, where inter-TRP interference may be a limiting factor or PC5 based V2V communication where inter-UE interference may become a </w:t>
      </w:r>
      <w:r>
        <w:rPr>
          <w:sz w:val="22"/>
          <w:szCs w:val="22"/>
          <w:lang w:eastAsia="zh-CN"/>
        </w:rPr>
        <w:lastRenderedPageBreak/>
        <w:t xml:space="preserve">bottleneck of system performance. In order to improve performance in D2D/V2V communication scenarios the NR design should take into account possibility of simultaneous operation of DL/UL/SL and take into account this multiplexing option in design of demodulation reference signals </w:t>
      </w:r>
      <w:r w:rsidR="001A11B9">
        <w:rPr>
          <w:sz w:val="22"/>
          <w:szCs w:val="22"/>
          <w:lang w:eastAsia="zh-CN"/>
        </w:rPr>
        <w:t>for robust</w:t>
      </w:r>
      <w:r>
        <w:rPr>
          <w:sz w:val="22"/>
          <w:szCs w:val="22"/>
          <w:lang w:eastAsia="zh-CN"/>
        </w:rPr>
        <w:t xml:space="preserve"> </w:t>
      </w:r>
      <w:r w:rsidR="001A11B9">
        <w:rPr>
          <w:sz w:val="22"/>
          <w:szCs w:val="22"/>
          <w:lang w:eastAsia="zh-CN"/>
        </w:rPr>
        <w:t xml:space="preserve">channel and interference </w:t>
      </w:r>
      <w:r>
        <w:rPr>
          <w:sz w:val="22"/>
          <w:szCs w:val="22"/>
          <w:lang w:eastAsia="zh-CN"/>
        </w:rPr>
        <w:t xml:space="preserve">estimation. The resource allocation and control signalling aspects that can help UE receiver to extract </w:t>
      </w:r>
      <w:r w:rsidR="0020001D">
        <w:rPr>
          <w:sz w:val="22"/>
          <w:szCs w:val="22"/>
          <w:lang w:eastAsia="zh-CN"/>
        </w:rPr>
        <w:t xml:space="preserve">physical </w:t>
      </w:r>
      <w:r>
        <w:rPr>
          <w:sz w:val="22"/>
          <w:szCs w:val="22"/>
          <w:lang w:eastAsia="zh-CN"/>
        </w:rPr>
        <w:t xml:space="preserve">parameters of strong interfering signals should be </w:t>
      </w:r>
      <w:r>
        <w:rPr>
          <w:sz w:val="22"/>
          <w:szCs w:val="22"/>
          <w:lang w:val="en-US" w:eastAsia="zh-CN"/>
        </w:rPr>
        <w:t xml:space="preserve">also </w:t>
      </w:r>
      <w:r>
        <w:rPr>
          <w:sz w:val="22"/>
          <w:szCs w:val="22"/>
          <w:lang w:eastAsia="zh-CN"/>
        </w:rPr>
        <w:t>taken into account for NR design.</w:t>
      </w:r>
    </w:p>
    <w:p w14:paraId="5A17A4A8" w14:textId="10420A84" w:rsidR="00F55646" w:rsidRPr="00E21C6B" w:rsidRDefault="00F55646" w:rsidP="0097496D">
      <w:pPr>
        <w:ind w:firstLine="284"/>
        <w:jc w:val="both"/>
        <w:rPr>
          <w:b/>
          <w:i/>
          <w:sz w:val="22"/>
          <w:szCs w:val="22"/>
          <w:lang w:eastAsia="zh-CN"/>
        </w:rPr>
      </w:pPr>
      <w:r w:rsidRPr="00E21C6B">
        <w:rPr>
          <w:b/>
          <w:i/>
          <w:sz w:val="22"/>
          <w:szCs w:val="22"/>
          <w:lang w:eastAsia="zh-CN"/>
        </w:rPr>
        <w:t>Proposal:</w:t>
      </w:r>
    </w:p>
    <w:p w14:paraId="09452F4C" w14:textId="52A36BC6" w:rsidR="00F55646" w:rsidRPr="00E21C6B" w:rsidRDefault="00F55646" w:rsidP="00E21C6B">
      <w:pPr>
        <w:pStyle w:val="ListParagraph"/>
        <w:numPr>
          <w:ilvl w:val="0"/>
          <w:numId w:val="50"/>
        </w:numPr>
        <w:spacing w:after="120"/>
        <w:ind w:left="1008"/>
        <w:jc w:val="both"/>
        <w:rPr>
          <w:rFonts w:ascii="Times New Roman" w:hAnsi="Times New Roman"/>
          <w:i/>
          <w:lang w:eastAsia="zh-CN"/>
        </w:rPr>
      </w:pPr>
      <w:r w:rsidRPr="00E21C6B">
        <w:rPr>
          <w:rFonts w:ascii="Times New Roman" w:hAnsi="Times New Roman"/>
          <w:i/>
          <w:lang w:eastAsia="zh-CN"/>
        </w:rPr>
        <w:t>The NR physical channel and reference signal dosing should consider advanced receiver operations</w:t>
      </w:r>
    </w:p>
    <w:p w14:paraId="59E57417" w14:textId="4DB76804" w:rsidR="00F55646" w:rsidRPr="00E21C6B" w:rsidRDefault="00F55646" w:rsidP="00E21C6B">
      <w:pPr>
        <w:pStyle w:val="ListParagraph"/>
        <w:numPr>
          <w:ilvl w:val="0"/>
          <w:numId w:val="50"/>
        </w:numPr>
        <w:spacing w:after="120"/>
        <w:ind w:left="1008"/>
        <w:jc w:val="both"/>
        <w:rPr>
          <w:rFonts w:ascii="Times New Roman" w:hAnsi="Times New Roman"/>
          <w:i/>
          <w:lang w:eastAsia="zh-CN"/>
        </w:rPr>
      </w:pPr>
      <w:r w:rsidRPr="00E21C6B">
        <w:rPr>
          <w:rFonts w:ascii="Times New Roman" w:hAnsi="Times New Roman"/>
          <w:i/>
          <w:lang w:eastAsia="zh-CN"/>
        </w:rPr>
        <w:t xml:space="preserve">The </w:t>
      </w:r>
      <w:r w:rsidR="00E21C6B">
        <w:rPr>
          <w:rFonts w:ascii="Times New Roman" w:hAnsi="Times New Roman"/>
          <w:i/>
          <w:lang w:eastAsia="zh-CN"/>
        </w:rPr>
        <w:t xml:space="preserve">NR </w:t>
      </w:r>
      <w:r w:rsidRPr="00E21C6B">
        <w:rPr>
          <w:rFonts w:ascii="Times New Roman" w:hAnsi="Times New Roman"/>
          <w:i/>
          <w:lang w:eastAsia="zh-CN"/>
        </w:rPr>
        <w:t>should support the new multiplexing schemes (e.g. based on superposition or puncturing as special case)</w:t>
      </w:r>
    </w:p>
    <w:p w14:paraId="2995F30B" w14:textId="221562C0" w:rsidR="00F55646" w:rsidRDefault="00F55646" w:rsidP="00F55646">
      <w:pPr>
        <w:ind w:firstLine="284"/>
        <w:jc w:val="both"/>
        <w:rPr>
          <w:sz w:val="22"/>
          <w:szCs w:val="22"/>
          <w:lang w:eastAsia="zh-CN"/>
        </w:rPr>
      </w:pPr>
      <w:r>
        <w:rPr>
          <w:sz w:val="22"/>
          <w:szCs w:val="22"/>
          <w:lang w:eastAsia="zh-CN"/>
        </w:rPr>
        <w:t>The NR MIMO technology may also support simultaneous DL / UL transmission with spatial separation utilizing different antenna subarrays. Enabling of such transmission mode on the same carrier frequency theoretically can double the spectral efficiency of NR systems at the cost of the</w:t>
      </w:r>
      <w:r w:rsidRPr="00BC68C0">
        <w:rPr>
          <w:sz w:val="22"/>
          <w:szCs w:val="22"/>
          <w:lang w:eastAsia="zh-CN"/>
        </w:rPr>
        <w:t xml:space="preserve"> interference </w:t>
      </w:r>
      <w:r>
        <w:rPr>
          <w:sz w:val="22"/>
          <w:szCs w:val="22"/>
          <w:lang w:eastAsia="zh-CN"/>
        </w:rPr>
        <w:t xml:space="preserve">between </w:t>
      </w:r>
      <w:r w:rsidRPr="00BC68C0">
        <w:rPr>
          <w:sz w:val="22"/>
          <w:szCs w:val="22"/>
          <w:lang w:eastAsia="zh-CN"/>
        </w:rPr>
        <w:t>its transmi</w:t>
      </w:r>
      <w:r>
        <w:rPr>
          <w:sz w:val="22"/>
          <w:szCs w:val="22"/>
          <w:lang w:eastAsia="zh-CN"/>
        </w:rPr>
        <w:t>tter</w:t>
      </w:r>
      <w:r w:rsidRPr="00BC68C0">
        <w:rPr>
          <w:sz w:val="22"/>
          <w:szCs w:val="22"/>
          <w:lang w:eastAsia="zh-CN"/>
        </w:rPr>
        <w:t xml:space="preserve"> and receiver chain</w:t>
      </w:r>
      <w:r>
        <w:rPr>
          <w:sz w:val="22"/>
          <w:szCs w:val="22"/>
          <w:lang w:eastAsia="zh-CN"/>
        </w:rPr>
        <w:t>s</w:t>
      </w:r>
      <w:r w:rsidRPr="00BC68C0">
        <w:rPr>
          <w:sz w:val="22"/>
          <w:szCs w:val="22"/>
          <w:lang w:eastAsia="zh-CN"/>
        </w:rPr>
        <w:t xml:space="preserve">. </w:t>
      </w:r>
      <w:r>
        <w:rPr>
          <w:sz w:val="22"/>
          <w:szCs w:val="22"/>
          <w:lang w:eastAsia="zh-CN"/>
        </w:rPr>
        <w:t>The analog beamforming on the hybrid antenna arrays, spatial separation of the TRP antennas with</w:t>
      </w:r>
      <w:r w:rsidRPr="00BC68C0">
        <w:rPr>
          <w:sz w:val="22"/>
          <w:szCs w:val="22"/>
          <w:lang w:eastAsia="zh-CN"/>
        </w:rPr>
        <w:t xml:space="preserve"> interference cancellation </w:t>
      </w:r>
      <w:r>
        <w:rPr>
          <w:sz w:val="22"/>
          <w:szCs w:val="22"/>
          <w:lang w:eastAsia="zh-CN"/>
        </w:rPr>
        <w:t>techniques may be used to reduce the interference between DL and UL transmission</w:t>
      </w:r>
      <w:r w:rsidRPr="00BC68C0">
        <w:rPr>
          <w:sz w:val="22"/>
          <w:szCs w:val="22"/>
          <w:lang w:eastAsia="zh-CN"/>
        </w:rPr>
        <w:t>.</w:t>
      </w:r>
      <w:r>
        <w:rPr>
          <w:sz w:val="22"/>
          <w:szCs w:val="22"/>
          <w:lang w:eastAsia="zh-CN"/>
        </w:rPr>
        <w:t xml:space="preserve"> The transmission on the same carrier frequency may be beneficial not only in the conventional access links but also for backhaul link transmission that could be also supported by the NR MIMO technology at least for the high frequency band. The transmission for the DL and UL can be also performed on the different frequency resources to reduce interference (see Figure 2). While this transmission may not provide the improvement in the spectral efficiency, it offers more flexible sharing of the spectrum between DL and UL and possibly provide some latency reduction. </w:t>
      </w:r>
    </w:p>
    <w:p w14:paraId="7899AE2E" w14:textId="77777777" w:rsidR="00F55646" w:rsidRDefault="00F55646" w:rsidP="00F55646">
      <w:pPr>
        <w:ind w:firstLine="284"/>
        <w:jc w:val="center"/>
        <w:rPr>
          <w:sz w:val="22"/>
          <w:szCs w:val="22"/>
          <w:lang w:eastAsia="zh-CN"/>
        </w:rPr>
      </w:pPr>
      <w:r>
        <w:object w:dxaOrig="11595" w:dyaOrig="2281" w14:anchorId="0E9FF566">
          <v:shape id="_x0000_i1029" type="#_x0000_t75" style="width:509.2pt;height:100.2pt" o:ole="">
            <v:imagedata r:id="rId16" o:title=""/>
          </v:shape>
          <o:OLEObject Type="Embed" ProgID="Visio.Drawing.15" ShapeID="_x0000_i1029" DrawAspect="Content" ObjectID="_1524689659" r:id="rId17"/>
        </w:object>
      </w:r>
      <w:r w:rsidDel="00985B5B">
        <w:rPr>
          <w:sz w:val="22"/>
          <w:szCs w:val="22"/>
          <w:lang w:eastAsia="zh-CN"/>
        </w:rPr>
        <w:t xml:space="preserve"> </w:t>
      </w:r>
    </w:p>
    <w:p w14:paraId="1A4CC7F6" w14:textId="3ABC1BF7" w:rsidR="00F55646" w:rsidRDefault="00F55646" w:rsidP="00E21C6B">
      <w:pPr>
        <w:ind w:firstLine="284"/>
        <w:jc w:val="center"/>
        <w:rPr>
          <w:b/>
          <w:sz w:val="22"/>
          <w:szCs w:val="22"/>
          <w:lang w:eastAsia="zh-CN"/>
        </w:rPr>
      </w:pPr>
      <w:r w:rsidRPr="00BA590C">
        <w:rPr>
          <w:b/>
          <w:sz w:val="22"/>
          <w:szCs w:val="22"/>
          <w:lang w:eastAsia="zh-CN"/>
        </w:rPr>
        <w:t xml:space="preserve">Figure </w:t>
      </w:r>
      <w:r>
        <w:rPr>
          <w:b/>
          <w:sz w:val="22"/>
          <w:szCs w:val="22"/>
          <w:lang w:eastAsia="zh-CN"/>
        </w:rPr>
        <w:t>2</w:t>
      </w:r>
      <w:r w:rsidRPr="00BA590C">
        <w:rPr>
          <w:b/>
          <w:sz w:val="22"/>
          <w:szCs w:val="22"/>
          <w:lang w:eastAsia="zh-CN"/>
        </w:rPr>
        <w:t xml:space="preserve">: </w:t>
      </w:r>
      <w:r>
        <w:rPr>
          <w:b/>
          <w:sz w:val="22"/>
          <w:szCs w:val="22"/>
          <w:lang w:eastAsia="zh-CN"/>
        </w:rPr>
        <w:t>The examples of simultaneous</w:t>
      </w:r>
      <w:r w:rsidRPr="00BA590C">
        <w:rPr>
          <w:b/>
          <w:sz w:val="22"/>
          <w:szCs w:val="22"/>
          <w:lang w:eastAsia="zh-CN"/>
        </w:rPr>
        <w:t xml:space="preserve"> DL</w:t>
      </w:r>
      <w:r>
        <w:rPr>
          <w:b/>
          <w:sz w:val="22"/>
          <w:szCs w:val="22"/>
          <w:lang w:eastAsia="zh-CN"/>
        </w:rPr>
        <w:t xml:space="preserve"> </w:t>
      </w:r>
      <w:r w:rsidRPr="00BA590C">
        <w:rPr>
          <w:b/>
          <w:sz w:val="22"/>
          <w:szCs w:val="22"/>
          <w:lang w:eastAsia="zh-CN"/>
        </w:rPr>
        <w:t>/</w:t>
      </w:r>
      <w:r>
        <w:rPr>
          <w:b/>
          <w:sz w:val="22"/>
          <w:szCs w:val="22"/>
          <w:lang w:eastAsia="zh-CN"/>
        </w:rPr>
        <w:t xml:space="preserve"> </w:t>
      </w:r>
      <w:r w:rsidRPr="00BA590C">
        <w:rPr>
          <w:b/>
          <w:sz w:val="22"/>
          <w:szCs w:val="22"/>
          <w:lang w:eastAsia="zh-CN"/>
        </w:rPr>
        <w:t xml:space="preserve">UL transmission </w:t>
      </w:r>
      <w:r>
        <w:rPr>
          <w:b/>
          <w:sz w:val="22"/>
          <w:szCs w:val="22"/>
          <w:lang w:eastAsia="zh-CN"/>
        </w:rPr>
        <w:t xml:space="preserve">with spatial separation </w:t>
      </w:r>
      <w:r w:rsidRPr="00BA590C">
        <w:rPr>
          <w:b/>
          <w:sz w:val="22"/>
          <w:szCs w:val="22"/>
          <w:lang w:eastAsia="zh-CN"/>
        </w:rPr>
        <w:t xml:space="preserve">for NR </w:t>
      </w:r>
      <w:r>
        <w:rPr>
          <w:b/>
          <w:sz w:val="22"/>
          <w:szCs w:val="22"/>
          <w:lang w:eastAsia="zh-CN"/>
        </w:rPr>
        <w:t xml:space="preserve">MIMO </w:t>
      </w:r>
      <w:r w:rsidRPr="00BA590C">
        <w:rPr>
          <w:b/>
          <w:sz w:val="22"/>
          <w:szCs w:val="22"/>
          <w:lang w:eastAsia="zh-CN"/>
        </w:rPr>
        <w:t>technology</w:t>
      </w:r>
    </w:p>
    <w:p w14:paraId="4B0CE349" w14:textId="77777777" w:rsidR="00E21C6B" w:rsidRPr="00E21C6B" w:rsidRDefault="00E21C6B" w:rsidP="00E21C6B">
      <w:pPr>
        <w:ind w:firstLine="284"/>
        <w:jc w:val="both"/>
        <w:rPr>
          <w:b/>
          <w:i/>
          <w:sz w:val="22"/>
          <w:szCs w:val="22"/>
          <w:lang w:eastAsia="zh-CN"/>
        </w:rPr>
      </w:pPr>
      <w:r w:rsidRPr="00E21C6B">
        <w:rPr>
          <w:b/>
          <w:i/>
          <w:sz w:val="22"/>
          <w:szCs w:val="22"/>
          <w:lang w:eastAsia="zh-CN"/>
        </w:rPr>
        <w:t>Proposal:</w:t>
      </w:r>
    </w:p>
    <w:p w14:paraId="4B899466" w14:textId="15D8A2B3" w:rsidR="00E21C6B" w:rsidRPr="00E21C6B" w:rsidRDefault="00E21C6B" w:rsidP="00E21C6B">
      <w:pPr>
        <w:pStyle w:val="ListParagraph"/>
        <w:numPr>
          <w:ilvl w:val="0"/>
          <w:numId w:val="50"/>
        </w:numPr>
        <w:spacing w:after="120"/>
        <w:ind w:left="1008"/>
        <w:jc w:val="both"/>
        <w:rPr>
          <w:rFonts w:ascii="Times New Roman" w:hAnsi="Times New Roman"/>
          <w:i/>
          <w:lang w:eastAsia="zh-CN"/>
        </w:rPr>
      </w:pPr>
      <w:r>
        <w:rPr>
          <w:rFonts w:ascii="Times New Roman" w:hAnsi="Times New Roman"/>
          <w:i/>
          <w:lang w:eastAsia="zh-CN"/>
        </w:rPr>
        <w:t>The NR design should consider the transmission scheme with simultaneous DL and UL transmission from TRP</w:t>
      </w:r>
    </w:p>
    <w:p w14:paraId="1D75CB81" w14:textId="77777777" w:rsidR="00E21C6B" w:rsidRPr="00E21C6B" w:rsidRDefault="00E21C6B" w:rsidP="00F55646">
      <w:pPr>
        <w:ind w:firstLine="284"/>
        <w:jc w:val="both"/>
        <w:rPr>
          <w:sz w:val="22"/>
          <w:szCs w:val="22"/>
          <w:lang w:val="en-US" w:eastAsia="zh-CN"/>
        </w:rPr>
      </w:pPr>
    </w:p>
    <w:p w14:paraId="7EE7B769" w14:textId="755452D6" w:rsidR="0020001D" w:rsidRDefault="0020001D" w:rsidP="00BC783B">
      <w:pPr>
        <w:pStyle w:val="Heading1"/>
        <w:pBdr>
          <w:top w:val="single" w:sz="12" w:space="4" w:color="auto"/>
        </w:pBdr>
        <w:ind w:left="0" w:firstLine="0"/>
        <w:rPr>
          <w:rFonts w:cs="Arial"/>
          <w:lang w:val="en-US"/>
        </w:rPr>
      </w:pPr>
      <w:r>
        <w:rPr>
          <w:rFonts w:cs="Arial"/>
          <w:lang w:val="en-US"/>
        </w:rPr>
        <w:t>Conclusions</w:t>
      </w:r>
    </w:p>
    <w:p w14:paraId="1A7428F7" w14:textId="57F4BA5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Pr="0020001D">
        <w:rPr>
          <w:sz w:val="22"/>
          <w:szCs w:val="22"/>
          <w:lang w:eastAsia="zh-CN"/>
        </w:rPr>
        <w:t xml:space="preserve"> our views on the </w:t>
      </w:r>
      <w:r>
        <w:rPr>
          <w:sz w:val="22"/>
          <w:szCs w:val="22"/>
          <w:lang w:eastAsia="zh-CN"/>
        </w:rPr>
        <w:t>antenna related technology for NR. Support of MIMO and receiver related technologies were discussed in the context of low and high frequency bands</w:t>
      </w:r>
      <w:r w:rsidR="009F04E9">
        <w:rPr>
          <w:sz w:val="22"/>
          <w:szCs w:val="22"/>
          <w:lang w:eastAsia="zh-CN"/>
        </w:rPr>
        <w:t>.</w:t>
      </w:r>
      <w:r w:rsidR="00E21C6B">
        <w:rPr>
          <w:sz w:val="22"/>
          <w:szCs w:val="22"/>
          <w:lang w:eastAsia="zh-CN"/>
        </w:rPr>
        <w:t xml:space="preserve"> The follwoin proposals were made:</w:t>
      </w:r>
    </w:p>
    <w:p w14:paraId="36C375D4" w14:textId="77777777" w:rsidR="00E21C6B" w:rsidRPr="00E21C6B" w:rsidRDefault="00E21C6B" w:rsidP="00E21C6B">
      <w:pPr>
        <w:pStyle w:val="ListParagraph"/>
        <w:numPr>
          <w:ilvl w:val="0"/>
          <w:numId w:val="50"/>
        </w:numPr>
        <w:spacing w:after="120"/>
        <w:ind w:left="1008"/>
        <w:jc w:val="both"/>
        <w:rPr>
          <w:rFonts w:ascii="Times New Roman" w:hAnsi="Times New Roman"/>
          <w:i/>
          <w:lang w:eastAsia="zh-CN"/>
        </w:rPr>
      </w:pPr>
      <w:r w:rsidRPr="00E21C6B">
        <w:rPr>
          <w:rFonts w:ascii="Times New Roman" w:hAnsi="Times New Roman"/>
          <w:i/>
          <w:lang w:eastAsia="zh-CN"/>
        </w:rPr>
        <w:t>The NR physical channel and reference signal dosing should consider advanced receiver operations</w:t>
      </w:r>
    </w:p>
    <w:p w14:paraId="29121BDB" w14:textId="3B6CF7D8" w:rsidR="00E21C6B" w:rsidRPr="00E21C6B" w:rsidRDefault="00E21C6B" w:rsidP="00E21C6B">
      <w:pPr>
        <w:pStyle w:val="ListParagraph"/>
        <w:numPr>
          <w:ilvl w:val="0"/>
          <w:numId w:val="50"/>
        </w:numPr>
        <w:spacing w:after="120"/>
        <w:ind w:left="1008"/>
        <w:jc w:val="both"/>
        <w:rPr>
          <w:rFonts w:ascii="Times New Roman" w:hAnsi="Times New Roman"/>
          <w:i/>
          <w:lang w:eastAsia="zh-CN"/>
        </w:rPr>
      </w:pPr>
      <w:r w:rsidRPr="00E21C6B">
        <w:rPr>
          <w:rFonts w:ascii="Times New Roman" w:hAnsi="Times New Roman"/>
          <w:i/>
          <w:lang w:eastAsia="zh-CN"/>
        </w:rPr>
        <w:t xml:space="preserve">The </w:t>
      </w:r>
      <w:r>
        <w:rPr>
          <w:rFonts w:ascii="Times New Roman" w:hAnsi="Times New Roman"/>
          <w:i/>
          <w:lang w:eastAsia="zh-CN"/>
        </w:rPr>
        <w:t xml:space="preserve">NR </w:t>
      </w:r>
      <w:r w:rsidRPr="00E21C6B">
        <w:rPr>
          <w:rFonts w:ascii="Times New Roman" w:hAnsi="Times New Roman"/>
          <w:i/>
          <w:lang w:eastAsia="zh-CN"/>
        </w:rPr>
        <w:t>should support the new multiplexing schemes (e.g. based on superposition or puncturing as special case)</w:t>
      </w:r>
    </w:p>
    <w:p w14:paraId="629CA85D" w14:textId="5E6CFAA6" w:rsidR="00E21C6B" w:rsidRPr="00E21C6B" w:rsidRDefault="00E21C6B" w:rsidP="00E21C6B">
      <w:pPr>
        <w:pStyle w:val="ListParagraph"/>
        <w:numPr>
          <w:ilvl w:val="0"/>
          <w:numId w:val="50"/>
        </w:numPr>
        <w:spacing w:after="120"/>
        <w:ind w:left="1008"/>
        <w:jc w:val="both"/>
        <w:rPr>
          <w:rFonts w:ascii="Times New Roman" w:hAnsi="Times New Roman"/>
          <w:i/>
          <w:lang w:eastAsia="zh-CN"/>
        </w:rPr>
      </w:pPr>
      <w:r>
        <w:rPr>
          <w:rFonts w:ascii="Times New Roman" w:hAnsi="Times New Roman"/>
          <w:i/>
          <w:lang w:eastAsia="zh-CN"/>
        </w:rPr>
        <w:t>The NR design should consider the transmission scheme with simultaneous DL and UL transmission from TRP</w:t>
      </w:r>
    </w:p>
    <w:p w14:paraId="4CAB053C" w14:textId="77777777" w:rsidR="00E21C6B" w:rsidRPr="0020001D" w:rsidRDefault="00E21C6B" w:rsidP="0008579B">
      <w:pPr>
        <w:ind w:firstLine="360"/>
        <w:jc w:val="both"/>
        <w:rPr>
          <w:lang w:val="en-US"/>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672EDEBA" w:rsidR="00E75BCE" w:rsidRPr="009F04E9" w:rsidRDefault="006B7360" w:rsidP="009F04E9">
      <w:pPr>
        <w:numPr>
          <w:ilvl w:val="0"/>
          <w:numId w:val="2"/>
        </w:numPr>
        <w:rPr>
          <w:rFonts w:ascii="Times" w:hAnsi="Times"/>
          <w:szCs w:val="24"/>
          <w:lang w:val="en-US" w:eastAsia="ja-JP"/>
        </w:rPr>
      </w:pPr>
      <w:bookmarkStart w:id="1" w:name="_Ref446505138"/>
      <w:bookmarkStart w:id="2" w:name="_Ref442081598"/>
      <w:bookmarkStart w:id="3" w:name="_Ref445293287"/>
      <w:r w:rsidRPr="009F04E9">
        <w:rPr>
          <w:rFonts w:eastAsia="MS Mincho"/>
          <w:sz w:val="22"/>
          <w:szCs w:val="24"/>
          <w:lang w:val="en-US" w:eastAsia="ja-JP"/>
        </w:rPr>
        <w:t>RP</w:t>
      </w:r>
      <w:r w:rsidRPr="009F04E9">
        <w:rPr>
          <w:sz w:val="22"/>
          <w:szCs w:val="24"/>
          <w:lang w:val="en-US" w:eastAsia="ja-JP"/>
        </w:rPr>
        <w:t>-160671, New SID Proposal: Study on New Radio Access Technology, NTT DoCoMo</w:t>
      </w:r>
      <w:bookmarkEnd w:id="1"/>
      <w:r w:rsidR="009F04E9" w:rsidRPr="009F04E9">
        <w:rPr>
          <w:sz w:val="22"/>
          <w:szCs w:val="24"/>
          <w:lang w:val="en-US" w:eastAsia="ja-JP"/>
        </w:rPr>
        <w:t>.</w:t>
      </w:r>
      <w:bookmarkStart w:id="4" w:name="_Ref446506608"/>
      <w:bookmarkStart w:id="5" w:name="_Ref446507216"/>
      <w:bookmarkStart w:id="6" w:name="_Ref446511358"/>
      <w:bookmarkEnd w:id="2"/>
      <w:bookmarkEnd w:id="3"/>
      <w:bookmarkEnd w:id="4"/>
      <w:bookmarkEnd w:id="5"/>
      <w:bookmarkEnd w:id="6"/>
    </w:p>
    <w:sectPr w:rsidR="00E75BCE" w:rsidRPr="009F04E9"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08FE1" w14:textId="77777777" w:rsidR="008D7A90" w:rsidRDefault="008D7A90">
      <w:r>
        <w:separator/>
      </w:r>
    </w:p>
  </w:endnote>
  <w:endnote w:type="continuationSeparator" w:id="0">
    <w:p w14:paraId="059C30A7" w14:textId="77777777" w:rsidR="008D7A90" w:rsidRDefault="008D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37456D" w:rsidRDefault="0037456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37456D" w:rsidRDefault="0037456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37456D" w:rsidRDefault="0037456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46A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6A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D7EA" w14:textId="77777777" w:rsidR="008D7A90" w:rsidRDefault="008D7A90">
      <w:r>
        <w:separator/>
      </w:r>
    </w:p>
  </w:footnote>
  <w:footnote w:type="continuationSeparator" w:id="0">
    <w:p w14:paraId="6B64B25D" w14:textId="77777777" w:rsidR="008D7A90" w:rsidRDefault="008D7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37456D" w:rsidRDefault="0037456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F444E4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1B2D4234"/>
    <w:multiLevelType w:val="hybridMultilevel"/>
    <w:tmpl w:val="F8D6F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20E2299D"/>
    <w:multiLevelType w:val="hybridMultilevel"/>
    <w:tmpl w:val="4D60E61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F4A6D"/>
    <w:multiLevelType w:val="hybridMultilevel"/>
    <w:tmpl w:val="9EA256FC"/>
    <w:lvl w:ilvl="0" w:tplc="D4BE3A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4E6565F"/>
    <w:multiLevelType w:val="hybridMultilevel"/>
    <w:tmpl w:val="645CAA3C"/>
    <w:lvl w:ilvl="0" w:tplc="A760C0F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31" w15:restartNumberingAfterBreak="0">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6" w15:restartNumberingAfterBreak="0">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5" w15:restartNumberingAfterBreak="0">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E202CB"/>
    <w:multiLevelType w:val="hybridMultilevel"/>
    <w:tmpl w:val="95A097EA"/>
    <w:lvl w:ilvl="0" w:tplc="F2EA9AC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D42B8E"/>
    <w:multiLevelType w:val="hybridMultilevel"/>
    <w:tmpl w:val="32AE84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3"/>
  </w:num>
  <w:num w:numId="2">
    <w:abstractNumId w:val="13"/>
  </w:num>
  <w:num w:numId="3">
    <w:abstractNumId w:val="7"/>
  </w:num>
  <w:num w:numId="4">
    <w:abstractNumId w:val="46"/>
  </w:num>
  <w:num w:numId="5">
    <w:abstractNumId w:val="33"/>
  </w:num>
  <w:num w:numId="6">
    <w:abstractNumId w:val="42"/>
  </w:num>
  <w:num w:numId="7">
    <w:abstractNumId w:val="4"/>
  </w:num>
  <w:num w:numId="8">
    <w:abstractNumId w:val="22"/>
  </w:num>
  <w:num w:numId="9">
    <w:abstractNumId w:val="43"/>
  </w:num>
  <w:num w:numId="10">
    <w:abstractNumId w:val="31"/>
  </w:num>
  <w:num w:numId="11">
    <w:abstractNumId w:val="10"/>
  </w:num>
  <w:num w:numId="12">
    <w:abstractNumId w:val="3"/>
  </w:num>
  <w:num w:numId="13">
    <w:abstractNumId w:val="35"/>
  </w:num>
  <w:num w:numId="14">
    <w:abstractNumId w:val="38"/>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20"/>
  </w:num>
  <w:num w:numId="17">
    <w:abstractNumId w:val="15"/>
  </w:num>
  <w:num w:numId="18">
    <w:abstractNumId w:val="5"/>
  </w:num>
  <w:num w:numId="19">
    <w:abstractNumId w:val="8"/>
  </w:num>
  <w:num w:numId="20">
    <w:abstractNumId w:val="27"/>
  </w:num>
  <w:num w:numId="21">
    <w:abstractNumId w:val="17"/>
  </w:num>
  <w:num w:numId="22">
    <w:abstractNumId w:val="9"/>
  </w:num>
  <w:num w:numId="23">
    <w:abstractNumId w:val="37"/>
  </w:num>
  <w:num w:numId="24">
    <w:abstractNumId w:val="45"/>
  </w:num>
  <w:num w:numId="25">
    <w:abstractNumId w:val="14"/>
  </w:num>
  <w:num w:numId="26">
    <w:abstractNumId w:val="30"/>
  </w:num>
  <w:num w:numId="27">
    <w:abstractNumId w:val="40"/>
  </w:num>
  <w:num w:numId="28">
    <w:abstractNumId w:val="18"/>
  </w:num>
  <w:num w:numId="29">
    <w:abstractNumId w:val="6"/>
  </w:num>
  <w:num w:numId="30">
    <w:abstractNumId w:val="47"/>
  </w:num>
  <w:num w:numId="31">
    <w:abstractNumId w:val="26"/>
  </w:num>
  <w:num w:numId="32">
    <w:abstractNumId w:val="36"/>
  </w:num>
  <w:num w:numId="33">
    <w:abstractNumId w:val="32"/>
  </w:num>
  <w:num w:numId="34">
    <w:abstractNumId w:val="2"/>
  </w:num>
  <w:num w:numId="35">
    <w:abstractNumId w:val="21"/>
  </w:num>
  <w:num w:numId="36">
    <w:abstractNumId w:val="24"/>
  </w:num>
  <w:num w:numId="37">
    <w:abstractNumId w:val="25"/>
  </w:num>
  <w:num w:numId="38">
    <w:abstractNumId w:val="34"/>
  </w:num>
  <w:num w:numId="39">
    <w:abstractNumId w:val="39"/>
  </w:num>
  <w:num w:numId="40">
    <w:abstractNumId w:val="41"/>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4"/>
  </w:num>
  <w:num w:numId="46">
    <w:abstractNumId w:val="48"/>
  </w:num>
  <w:num w:numId="47">
    <w:abstractNumId w:val="19"/>
  </w:num>
  <w:num w:numId="48">
    <w:abstractNumId w:val="12"/>
  </w:num>
  <w:num w:numId="49">
    <w:abstractNumId w:val="11"/>
  </w:num>
  <w:num w:numId="50">
    <w:abstractNumId w:val="4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6A0"/>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F1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3DC"/>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A90"/>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5F2"/>
    <w:rsid w:val="00D80AB8"/>
    <w:rsid w:val="00D80C93"/>
    <w:rsid w:val="00D80CCB"/>
    <w:rsid w:val="00D81307"/>
    <w:rsid w:val="00D817FD"/>
    <w:rsid w:val="00D81C74"/>
    <w:rsid w:val="00D81E9C"/>
    <w:rsid w:val="00D820A7"/>
    <w:rsid w:val="00D820F3"/>
    <w:rsid w:val="00D829AC"/>
    <w:rsid w:val="00D832F0"/>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6B"/>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6C5B"/>
    <w:rsid w:val="00E67551"/>
    <w:rsid w:val="00E676A6"/>
    <w:rsid w:val="00E67953"/>
    <w:rsid w:val="00E67D67"/>
    <w:rsid w:val="00E67E2F"/>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5122"/>
    <w:rsid w:val="00ED54F7"/>
    <w:rsid w:val="00ED58F2"/>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646"/>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5A1"/>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6DAB6-8E76-4CAD-A36B-96420A123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882</Words>
  <Characters>4959</Characters>
  <Application>Microsoft Office Word</Application>
  <DocSecurity>0</DocSecurity>
  <Lines>86</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5840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Intel</cp:lastModifiedBy>
  <cp:revision>25</cp:revision>
  <cp:lastPrinted>2011-11-09T07:49:00Z</cp:lastPrinted>
  <dcterms:created xsi:type="dcterms:W3CDTF">2016-03-28T12:08:00Z</dcterms:created>
  <dcterms:modified xsi:type="dcterms:W3CDTF">2016-05-13T21:08:00Z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COMMUNICATION &amp;DEVICES GROUP</vt:lpwstr>
  </property>
  <property fmtid="{D5CDD505-2E9C-101B-9397-08002B2CF9AE}" pid="11" name="CTP_TimeStamp">
    <vt:lpwstr>2016-05-13 21:08:15Z</vt:lpwstr>
  </property>
  <property fmtid="{D5CDD505-2E9C-101B-9397-08002B2CF9AE}" pid="12" name="CTPClassification">
    <vt:lpwstr>CTP_IC</vt:lpwstr>
  </property>
</Properties>
</file>